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R90cad6ebe7a2425c" /></Relationships>
</file>

<file path=word/document.xml><?xml version="1.0" encoding="utf-8"?>
<w:document xmlns:w="http://schemas.openxmlformats.org/wordprocessingml/2006/main">
  <w:body>
    <w:tbl>
      <w:tblPr>
        <w:tblW w:w="9000" w:type="dxa"/>
        <w:tblBorders>
          <w:top w:val="nil"/>
          <w:bottom w:val="nil"/>
          <w:left w:val="nil"/>
          <w:right w:val="nil"/>
          <w:insideH w:val="nil"/>
          <w:insideV w:val="nil"/>
        </w:tblBorders>
        <w:tblCellSpacing w:w="60" w:type="dxa"/>
        <w:shd w:val="clear" w:color="auto" w:fill="E7F0F9"/>
      </w:tblPr>
      <w:tblGrid>
        <w:gridCol w:w="1200"/>
        <w:gridCol w:w="4500"/>
      </w:tblGrid>
      <w:tr>
        <w:tc>
          <w:tcPr>
            <w:tcW w:w="1200" w:type="pct"/>
            <w:shd w:val="clear" w:color="auto" w:fill="E7F0F9"/>
          </w:tcPr>
          <w:p>
            <w:pPr>
              <w:spacing w:before="0" w:after="0" w:line="240" w:lineRule="auto"/>
              <w:jc w:val="left"/>
            </w:pPr>
            <w:r>
              <w:rPr>
                <w:b/>
              </w:rPr>
              <w:t xml:space="preserve">RKP broj</w:t>
            </w:r>
          </w:p>
        </w:tc>
        <w:tc>
          <w:tcPr>
            <w:shd w:val="clear" w:color="auto" w:fill="E7F0F9"/>
          </w:tcPr>
          <w:p>
            <w:pPr>
              <w:spacing w:before="0" w:after="0" w:line="240" w:lineRule="auto"/>
              <w:jc w:val="left"/>
            </w:pPr>
            <w:r>
              <w:t xml:space="preserve">8553</w:t>
            </w:r>
          </w:p>
        </w:tc>
      </w:tr>
      <w:tr>
        <w:tc>
          <w:tcPr>
            <w:tcW w:w="1200" w:type="pct"/>
            <w:shd w:val="clear" w:color="auto" w:fill="E7F0F9"/>
          </w:tcPr>
          <w:p>
            <w:pPr>
              <w:spacing w:before="0" w:after="0" w:line="240" w:lineRule="auto"/>
              <w:jc w:val="left"/>
            </w:pPr>
            <w:r>
              <w:rPr>
                <w:b/>
              </w:rPr>
              <w:t xml:space="preserve">Naziv obveznika</w:t>
            </w:r>
          </w:p>
        </w:tc>
        <w:tc>
          <w:tcPr>
            <w:shd w:val="clear" w:color="auto" w:fill="E7F0F9"/>
          </w:tcPr>
          <w:p>
            <w:pPr>
              <w:spacing w:before="0" w:after="0" w:line="240" w:lineRule="auto"/>
              <w:jc w:val="left"/>
            </w:pPr>
            <w:r>
              <w:t xml:space="preserve">Osnovna škola  ANDRIJE PALMOVIĆA  </w:t>
            </w:r>
          </w:p>
        </w:tc>
      </w:tr>
      <w:tr>
        <w:tc>
          <w:tcPr>
            <w:tcW w:w="1200" w:type="pct"/>
            <w:shd w:val="clear" w:color="auto" w:fill="E7F0F9"/>
          </w:tcPr>
          <w:p>
            <w:pPr>
              <w:spacing w:before="0" w:after="0" w:line="240" w:lineRule="auto"/>
              <w:jc w:val="left"/>
            </w:pPr>
            <w:r>
              <w:rPr>
                <w:b/>
              </w:rPr>
              <w:t xml:space="preserve">Razina</w:t>
            </w:r>
          </w:p>
        </w:tc>
        <w:tc>
          <w:tcPr>
            <w:shd w:val="clear" w:color="auto" w:fill="E7F0F9"/>
          </w:tcPr>
          <w:p>
            <w:pPr>
              <w:spacing w:before="0" w:after="0" w:line="240" w:lineRule="auto"/>
              <w:jc w:val="left"/>
            </w:pPr>
            <w:r>
              <w:t xml:space="preserve">31</w:t>
            </w:r>
          </w:p>
        </w:tc>
      </w:tr>
    </w:tbl>
    <w:p>
      <w:r>
        <w:br/>
      </w:r>
    </w:p>
    <w:p>
      <w:pPr>
        <w:jc w:val="center"/>
        <w:pStyle w:val="Normal"/>
        <w:spacing w:line="240" w:lineRule="auto"/>
      </w:pPr>
      <w:r>
        <w:rPr>
          <w:b/>
          <w:sz w:val="28"/>
          <w:rFonts w:ascii="Times New Roman" w:hAnsi="Times New Roman"/>
        </w:rPr>
        <w:t>BILJEŠKE UZ FINANCIJSKE IZVJEŠTAJE</w:t>
      </w:r>
    </w:p>
    <w:p>
      <w:pPr>
        <w:jc w:val="center"/>
        <w:pStyle w:val="Normal"/>
        <w:spacing w:line="240" w:lineRule="auto"/>
      </w:pPr>
      <w:r>
        <w:rPr>
          <w:b/>
          <w:sz w:val="28"/>
          <w:rFonts w:ascii="Times New Roman" w:hAnsi="Times New Roman"/>
        </w:rPr>
        <w:t>ZA RAZDOBLJE</w:t>
      </w:r>
    </w:p>
    <w:p>
      <w:pPr>
        <w:jc w:val="center"/>
        <w:pStyle w:val="Normal"/>
        <w:spacing w:line="240" w:lineRule="auto"/>
      </w:pPr>
      <w:r>
        <w:rPr>
          <w:b/>
          <w:sz w:val="28"/>
          <w:rFonts w:ascii="Times New Roman" w:hAnsi="Times New Roman"/>
        </w:rPr>
        <w:t>I - IX 2025.</w:t>
      </w:r>
    </w:p>
    <w:p/>
    <w:p>
      <w:pPr>
        <w:jc w:val="center"/>
        <w:pStyle w:val="Normal"/>
        <w:spacing w:line="240" w:lineRule="auto"/>
        <w:keepNext/>
      </w:pPr>
      <w:r>
        <w:rPr>
          <w:b/>
          <w:sz w:val="28"/>
          <w:rFonts w:ascii="Times New Roman" w:hAnsi="Times New Roman"/>
        </w:rPr>
        <w:t>Izvještaj o prihodima i rashodima, primicima i izdacima</w:t>
      </w:r>
    </w:p>
    <w:p>
      <w:pPr>
        <w:jc w:val="center"/>
        <w:pStyle w:val="Normal"/>
        <w:spacing w:line="240" w:lineRule="auto"/>
        <w:keepNext/>
      </w:pPr>
      <w:r>
        <w:rPr>
          <w:sz w:val="28"/>
          <w:rFonts w:ascii="Times New Roman" w:hAnsi="Times New Roman"/>
        </w:rPr>
        <w:t>Bilješka 1.</w:t>
      </w:r>
    </w:p>
    <w:tbl>
      <w:tblPr>
        <w:tblBorders>
          <w:top w:val="single" w:color="BABABA" w:sz="12"/>
          <w:bottom w:val="single" w:color="BABABA" w:sz="12"/>
          <w:left w:val="single" w:color="BABABA" w:sz="12"/>
          <w:right w:val="single" w:color="BABABA" w:sz="12"/>
          <w:insideH w:val="single" w:color="BABABA" w:sz="8"/>
          <w:insideV w:val="single" w:color="DADADA" w:sz="8"/>
        </w:tblBorders>
        <w:tblW w:w="0" w:type="auto"/>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POSLOVANJA (šifre 61+62+63+64+65+66+67+68)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1.004.198,89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1.142.406,64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113,8</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POSLOVANJA (šifre 31+32+34+35+36+37+38)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1.005.072,37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1.222.821,96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121,7</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POSLOVANJA (šifre Z005-6)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873,48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80.415,32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9206,3</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nefinancijske imovine (šifre 71+72+73+74)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nabavu nefinancijske imovine (šifre 41+42+43+44+45)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7.323,63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20.413,45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278,7</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OD NEFINANCIJSKE IMOVINE (šifre 4-7)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7.323,63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20.413,45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278,7</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Primici od financijske imovine i zaduživanja (šifre 81+82+83+84+85)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Izdaci za financijsku imovinu i otplate zajmova (šifre 51+52+53+54+55)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VIŠAK/MANJAK PRIMITAKA OD FINANCIJSKE IMOVINE I ZADUŽIVANJA (šifre 8-5, 5-8)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X003, Y003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I PRIMITAKA (šifre Y345-X678)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8.197,11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100.828,77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1230,1</w:t>
            </w:r>
          </w:p>
        </w:tc>
      </w:tr>
    </w:tbl>
    <w:p>
      <w:pPr>
        <w:spacing w:before="0" w:after="0"/>
      </w:pPr>
    </w:p>
    <w:p>
      <w:pPr>
        <w:jc w:val="both"/>
        <w:pStyle w:val="Normal"/>
        <w:spacing w:line="240" w:lineRule="auto"/>
      </w:pPr>
      <w:r>
        <w:rPr>
          <w:sz w:val="24"/>
          <w:rFonts w:ascii="Times New Roman" w:hAnsi="Times New Roman"/>
        </w:rPr>
        <w:t>Šifra Y001 - za navedeno razdoblje ostvaren je manjak prihoda poslovanja u iznosu od 80.415,32 eura iz razloga što je za navedeno razdoblje proknjižena plaća za rujan 2025., a prihod za istu će se proknjižiti u listopadu 2025. godine. Isto tako će se i za materijalne troškove koji su proknjiženi do 30.9.2025. prihod knjižiti nakon plaćenih računa za iste u listopadu 2025.
Šifra Y002 - iskazan je manjak prihoda od nefinancijske imovine iz razloga što škola ne ostvaruje  prihodi od prodaje nefinancijske imovine već se rashodi za nabavu nefinancijske imovine podmiruju sa konta 6362 Kapitalne pomoći proračunskim korisnicima iz proračuna koji im nije nadležan i konta 6712 Prihodi iz nadležnog proračuna za financiranje rashoda za nabavu nefinancijske imovine.</w:t>
      </w:r>
    </w:p>
    <w:p>
      <w:r>
        <w:br/>
      </w:r>
    </w:p>
    <w:p>
      <w:pPr>
        <w:jc w:val="center"/>
        <w:pStyle w:val="Normal"/>
        <w:spacing w:line="240" w:lineRule="auto"/>
        <w:keepNext/>
      </w:pPr>
      <w:r>
        <w:rPr>
          <w:sz w:val="28"/>
          <w:rFonts w:ascii="Times New Roman" w:hAnsi="Times New Roman"/>
        </w:rPr>
        <w:t>Bilješka 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6393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Tekući prijenosi između proračunskih korisnika istog proračuna temeljem prijenosa EU sredstava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6393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5.916,69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10.362,11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175,1</w:t>
            </w:r>
          </w:p>
        </w:tc>
      </w:tr>
    </w:tbl>
    <w:p>
      <w:pPr>
        <w:spacing w:before="0" w:after="0"/>
      </w:pPr>
    </w:p>
    <w:p>
      <w:pPr>
        <w:jc w:val="both"/>
        <w:pStyle w:val="Normal"/>
        <w:spacing w:line="240" w:lineRule="auto"/>
      </w:pPr>
      <w:r>
        <w:rPr>
          <w:sz w:val="24"/>
          <w:rFonts w:ascii="Times New Roman" w:hAnsi="Times New Roman"/>
        </w:rPr>
        <w:t>Povećana je satnica za plaće pomoćnika u nastavi u odnosu na prethodnu školsku godinu, ali se projekat provodi kroz cijelu proračunsku godinu, dok je prošle godine provođen za školsku godinu od siječnja do lipnja, i od rujna do prosinca 2024.</w:t>
      </w:r>
    </w:p>
    <w:p/>
    <w:p>
      <w:pPr>
        <w:jc w:val="center"/>
        <w:pStyle w:val="Normal"/>
        <w:spacing w:line="240" w:lineRule="auto"/>
        <w:keepNext/>
      </w:pPr>
      <w:r>
        <w:rPr>
          <w:sz w:val="28"/>
          <w:rFonts w:ascii="Times New Roman" w:hAnsi="Times New Roman"/>
        </w:rPr>
        <w:t>Bilješka 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6526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Ostali nespomenuti prihodi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6526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4.201,24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2.494,17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59,4</w:t>
            </w:r>
          </w:p>
        </w:tc>
      </w:tr>
    </w:tbl>
    <w:p>
      <w:pPr>
        <w:spacing w:before="0" w:after="0"/>
      </w:pPr>
    </w:p>
    <w:p>
      <w:pPr>
        <w:jc w:val="both"/>
        <w:pStyle w:val="Normal"/>
        <w:spacing w:line="240" w:lineRule="auto"/>
      </w:pPr>
      <w:r>
        <w:rPr>
          <w:sz w:val="24"/>
          <w:rFonts w:ascii="Times New Roman" w:hAnsi="Times New Roman"/>
        </w:rPr>
        <w:t>Učeničke ekskurzije organizirane su preko putničkih agencija te su uplate izvršene na račune agencija u 2025. godini, dok su u istom izvještajnom razdoblju prethodne godine prihodi uplaćivani na račun škole za plaćanje autobusnog prijevoza učenika za iste.</w:t>
      </w:r>
    </w:p>
    <w:p/>
    <w:p>
      <w:pPr>
        <w:jc w:val="center"/>
        <w:pStyle w:val="Normal"/>
        <w:spacing w:line="240" w:lineRule="auto"/>
        <w:keepNext/>
      </w:pPr>
      <w:r>
        <w:rPr>
          <w:sz w:val="28"/>
          <w:rFonts w:ascii="Times New Roman" w:hAnsi="Times New Roman"/>
        </w:rPr>
        <w:t>Bilješka 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6614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proizvoda i robe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6614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55,00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458,00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832,7</w:t>
            </w:r>
          </w:p>
        </w:tc>
      </w:tr>
    </w:tbl>
    <w:p>
      <w:pPr>
        <w:spacing w:before="0" w:after="0"/>
      </w:pPr>
    </w:p>
    <w:p>
      <w:pPr>
        <w:jc w:val="both"/>
        <w:pStyle w:val="Normal"/>
        <w:spacing w:line="240" w:lineRule="auto"/>
      </w:pPr>
      <w:r>
        <w:rPr>
          <w:sz w:val="24"/>
          <w:rFonts w:ascii="Times New Roman" w:hAnsi="Times New Roman"/>
        </w:rPr>
        <w:t>U ovom izvještajnom razdoblju ostvareno je više prihoda od prodaje proizvoda i robe u odnosu na prethodno izvještajno razdoblje iz razloga što su učenici  iz područne škole sakupljali stari papir.</w:t>
      </w:r>
    </w:p>
    <w:p/>
    <w:p>
      <w:pPr>
        <w:jc w:val="center"/>
        <w:pStyle w:val="Normal"/>
        <w:spacing w:line="240" w:lineRule="auto"/>
        <w:keepNext/>
      </w:pPr>
      <w:r>
        <w:rPr>
          <w:sz w:val="28"/>
          <w:rFonts w:ascii="Times New Roman" w:hAnsi="Times New Roman"/>
        </w:rPr>
        <w:t>Bilješka 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6615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pruženih usluga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6615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2.598,14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3.292,11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126,7</w:t>
            </w:r>
          </w:p>
        </w:tc>
      </w:tr>
    </w:tbl>
    <w:p>
      <w:pPr>
        <w:spacing w:before="0" w:after="0"/>
      </w:pPr>
    </w:p>
    <w:p>
      <w:pPr>
        <w:jc w:val="both"/>
        <w:pStyle w:val="Normal"/>
        <w:spacing w:line="240" w:lineRule="auto"/>
      </w:pPr>
      <w:r>
        <w:rPr>
          <w:sz w:val="24"/>
          <w:rFonts w:ascii="Times New Roman" w:hAnsi="Times New Roman"/>
        </w:rPr>
        <w:t>Ostvareno je više prihoda od iznajmljivanja školske sportske dvorane u odnosu na isto izvještajno razdoblje prethodne godine.</w:t>
      </w:r>
    </w:p>
    <w:p/>
    <w:p>
      <w:pPr>
        <w:jc w:val="center"/>
        <w:pStyle w:val="Normal"/>
        <w:spacing w:line="240" w:lineRule="auto"/>
        <w:keepNext/>
      </w:pPr>
      <w:r>
        <w:rPr>
          <w:sz w:val="28"/>
          <w:rFonts w:ascii="Times New Roman" w:hAnsi="Times New Roman"/>
        </w:rPr>
        <w:t>Bilješka 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iz nadležnog proračuna za financiranje rashoda za nabavu nefinancijske imovine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5.503,86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32.032,21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582,0</w:t>
            </w:r>
          </w:p>
        </w:tc>
      </w:tr>
    </w:tbl>
    <w:p>
      <w:pPr>
        <w:spacing w:before="0" w:after="0"/>
      </w:pPr>
    </w:p>
    <w:p>
      <w:pPr>
        <w:jc w:val="both"/>
        <w:pStyle w:val="Normal"/>
        <w:spacing w:line="240" w:lineRule="auto"/>
      </w:pPr>
      <w:r>
        <w:rPr>
          <w:sz w:val="24"/>
          <w:rFonts w:ascii="Times New Roman" w:hAnsi="Times New Roman"/>
        </w:rPr>
        <w:t>Do 30.9.2025. nabavljena je sva oprema planirana u financijskom planu za 2025. godinu, i podmireni je manjak prihoda od nefinancijske imovine za 2024. godinu.</w:t>
      </w:r>
    </w:p>
    <w:p/>
    <w:p>
      <w:pPr>
        <w:jc w:val="center"/>
        <w:pStyle w:val="Normal"/>
        <w:spacing w:line="240" w:lineRule="auto"/>
        <w:keepNext/>
      </w:pPr>
      <w:r>
        <w:rPr>
          <w:sz w:val="28"/>
          <w:rFonts w:ascii="Times New Roman" w:hAnsi="Times New Roman"/>
        </w:rPr>
        <w:t>Bilješka 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Stručno usavršavanje zaposlenika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570,00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1.096,50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192,4</w:t>
            </w:r>
          </w:p>
        </w:tc>
      </w:tr>
    </w:tbl>
    <w:p>
      <w:pPr>
        <w:spacing w:before="0" w:after="0"/>
      </w:pPr>
    </w:p>
    <w:p>
      <w:pPr>
        <w:jc w:val="both"/>
        <w:pStyle w:val="Normal"/>
        <w:spacing w:line="240" w:lineRule="auto"/>
      </w:pPr>
      <w:r>
        <w:rPr>
          <w:sz w:val="24"/>
          <w:rFonts w:ascii="Times New Roman" w:hAnsi="Times New Roman"/>
        </w:rPr>
        <w:t>Provedeno je osposobljavanje 18 radnika za rad na siguran način i preventivnih mjera zaštite od požara što je značajno povećanje troškova u odnosu na isto izvještajno razdoblje prethodne godine.</w:t>
      </w:r>
    </w:p>
    <w:p/>
    <w:p>
      <w:pPr>
        <w:jc w:val="center"/>
        <w:pStyle w:val="Normal"/>
        <w:spacing w:line="240" w:lineRule="auto"/>
        <w:keepNext/>
      </w:pPr>
      <w:r>
        <w:rPr>
          <w:sz w:val="28"/>
          <w:rFonts w:ascii="Times New Roman" w:hAnsi="Times New Roman"/>
        </w:rPr>
        <w:t>Bilješka 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Usluge tekućeg i investicijskog održavanja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1.800,53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10.406,16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577,9</w:t>
            </w:r>
          </w:p>
        </w:tc>
      </w:tr>
    </w:tbl>
    <w:p>
      <w:pPr>
        <w:spacing w:before="0" w:after="0"/>
      </w:pPr>
    </w:p>
    <w:p>
      <w:pPr>
        <w:jc w:val="both"/>
        <w:pStyle w:val="Normal"/>
        <w:spacing w:line="240" w:lineRule="auto"/>
      </w:pPr>
      <w:r>
        <w:rPr>
          <w:sz w:val="24"/>
          <w:rFonts w:ascii="Times New Roman" w:hAnsi="Times New Roman"/>
        </w:rPr>
        <w:t>Zbog nabavljene nove opreme za školske kuhinje na područnim školama bila je i potrebna rekonstrukcija vodovodne mreže te pojačanje niskonaponske mreže da bi se ista mogla koristiti, izrađena je procjena rizika, ispitivanje elektroinstalacija za matičnu i sve područne škole , te ispitivanje radne opreme, ispitivanje radnog okoliša u matičnoj i svim područnim školama, ispitivanje sustava zaštite od munja, protupanične rasvjete i tipkala u matičnoj i svim područnim školama i sportskoj dvorani koja smo po zakonu dužni provoditi svake 3 godine.</w:t>
      </w:r>
    </w:p>
    <w:p/>
    <w:p>
      <w:pPr>
        <w:jc w:val="center"/>
        <w:pStyle w:val="Normal"/>
        <w:spacing w:line="240" w:lineRule="auto"/>
        <w:keepNext/>
      </w:pPr>
      <w:r>
        <w:rPr>
          <w:sz w:val="28"/>
          <w:rFonts w:ascii="Times New Roman" w:hAnsi="Times New Roman"/>
        </w:rPr>
        <w:t>Bilješka 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Ostale usluge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113,06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4.057,59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3588,9</w:t>
            </w:r>
          </w:p>
        </w:tc>
      </w:tr>
    </w:tbl>
    <w:p>
      <w:pPr>
        <w:spacing w:before="0" w:after="0"/>
      </w:pPr>
    </w:p>
    <w:p>
      <w:pPr>
        <w:jc w:val="both"/>
        <w:pStyle w:val="Normal"/>
        <w:spacing w:line="240" w:lineRule="auto"/>
      </w:pPr>
      <w:r>
        <w:rPr>
          <w:sz w:val="24"/>
          <w:rFonts w:ascii="Times New Roman" w:hAnsi="Times New Roman"/>
        </w:rPr>
        <w:t>U Financijskom planu za 2025. godinu planirani su rashodi za usluge agencija jednodnevnih izleta učenika koji se financiraju iz proračuna Općine Rasinja na kontu 3239 dok su u 2024. godini bila planirana na kontu 3299.</w:t>
      </w:r>
    </w:p>
    <w:p/>
  </w:body>
</w:document>
</file>

<file path=word/styles.xml><?xml version="1.0" encoding="utf-8"?>
<w:styles xmlns:w="http://schemas.openxmlformats.org/wordprocessingml/2006/main">
  <w:style w:type="paragraph" w:styleId="Normal" w:default="true">
    <w:name w:val="Normal"/>
    <w:rPr>
      <w:rFonts w:ascii="Times New Roman" w:hAnsi="Times New Roman"/>
      <w:sz w:val="24"/>
    </w:rPr>
  </w:style>
</w:styles>
</file>

<file path=word/_rels/document.xml.rels>&#65279;<?xml version="1.0" encoding="utf-8"?><Relationships xmlns="http://schemas.openxmlformats.org/package/2006/relationships"><Relationship Type="http://schemas.openxmlformats.org/officeDocument/2006/relationships/styles" Target="/word/styles.xml" Id="Rf05b5acaa1aa4e0d" /></Relationships>
</file>